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2065D">
      <w:pPr>
        <w:jc w:val="center"/>
        <w:rPr>
          <w:rFonts w:hint="eastAsia" w:ascii="黑体" w:hAnsi="Calibri" w:eastAsia="黑体"/>
          <w:sz w:val="32"/>
          <w:szCs w:val="32"/>
        </w:rPr>
      </w:pPr>
      <w:bookmarkStart w:id="0" w:name="_GoBack"/>
      <w:bookmarkEnd w:id="0"/>
    </w:p>
    <w:p w14:paraId="5F881942">
      <w:pPr>
        <w:jc w:val="center"/>
        <w:rPr>
          <w:rFonts w:hint="eastAsia" w:ascii="黑体" w:hAnsi="Calibri" w:eastAsia="黑体"/>
          <w:sz w:val="32"/>
          <w:szCs w:val="32"/>
        </w:rPr>
      </w:pPr>
    </w:p>
    <w:p w14:paraId="7C7324AA">
      <w:pPr>
        <w:jc w:val="center"/>
        <w:rPr>
          <w:rFonts w:hint="eastAsia" w:ascii="黑体" w:hAnsi="Calibri" w:eastAsia="黑体"/>
          <w:sz w:val="32"/>
          <w:szCs w:val="32"/>
        </w:rPr>
      </w:pPr>
    </w:p>
    <w:p w14:paraId="43689770">
      <w:pPr>
        <w:jc w:val="center"/>
        <w:rPr>
          <w:rFonts w:hint="eastAsia" w:ascii="黑体" w:hAnsi="Calibri" w:eastAsia="黑体"/>
          <w:sz w:val="44"/>
          <w:szCs w:val="44"/>
        </w:rPr>
      </w:pPr>
      <w:r>
        <w:rPr>
          <w:rFonts w:hint="eastAsia" w:ascii="黑体" w:hAnsi="Calibri" w:eastAsia="黑体"/>
          <w:sz w:val="44"/>
          <w:szCs w:val="44"/>
        </w:rPr>
        <w:t>宁夏和宁化学有限公司</w:t>
      </w:r>
    </w:p>
    <w:p w14:paraId="39E5E8BB">
      <w:pPr>
        <w:pStyle w:val="12"/>
      </w:pPr>
    </w:p>
    <w:p w14:paraId="73B5BE68">
      <w:pPr>
        <w:pStyle w:val="12"/>
        <w:ind w:firstLine="0" w:firstLineChars="0"/>
        <w:jc w:val="center"/>
        <w:rPr>
          <w:rFonts w:hint="eastAsia" w:ascii="黑体" w:hAnsi="Calibri" w:eastAsia="黑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kern w:val="2"/>
          <w:sz w:val="44"/>
          <w:szCs w:val="44"/>
          <w:lang w:val="en-US" w:eastAsia="zh-CN" w:bidi="ar-SA"/>
        </w:rPr>
        <w:t>危险废物"五即"规范化建设服务项目</w:t>
      </w:r>
    </w:p>
    <w:p w14:paraId="6F0C80C2">
      <w:pPr>
        <w:pStyle w:val="12"/>
        <w:ind w:firstLine="0" w:firstLineChars="0"/>
        <w:jc w:val="center"/>
        <w:rPr>
          <w:rFonts w:hint="eastAsia" w:ascii="宋体" w:hAnsi="宋体" w:cs="宋体"/>
        </w:rPr>
      </w:pPr>
      <w:r>
        <w:rPr>
          <w:rFonts w:hint="eastAsia" w:ascii="黑体" w:hAnsi="Calibri" w:eastAsia="黑体" w:cs="Times New Roman"/>
          <w:kern w:val="2"/>
          <w:sz w:val="44"/>
          <w:szCs w:val="44"/>
          <w:lang w:val="en-US" w:eastAsia="zh-CN" w:bidi="ar-SA"/>
        </w:rPr>
        <w:t>公开比选询价函</w:t>
      </w:r>
    </w:p>
    <w:p w14:paraId="323AD374">
      <w:pPr>
        <w:rPr>
          <w:rFonts w:hint="eastAsia" w:ascii="黑体" w:hAnsi="Calibri" w:eastAsia="黑体"/>
          <w:sz w:val="32"/>
          <w:szCs w:val="32"/>
        </w:rPr>
      </w:pPr>
    </w:p>
    <w:p w14:paraId="079C4788">
      <w:pPr>
        <w:pStyle w:val="12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730827C9">
      <w:pPr>
        <w:pStyle w:val="11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6DAAE999">
      <w:pPr>
        <w:spacing w:line="360" w:lineRule="auto"/>
        <w:ind w:firstLine="2560" w:firstLineChars="800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172B9CF5">
      <w:pPr>
        <w:spacing w:line="360" w:lineRule="auto"/>
        <w:ind w:firstLine="2560" w:firstLineChars="800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572D161C">
      <w:pPr>
        <w:spacing w:line="360" w:lineRule="auto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21CBBD43">
      <w:pPr>
        <w:pStyle w:val="12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4AB445A6">
      <w:pPr>
        <w:pStyle w:val="11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088E8D17">
      <w:pPr>
        <w:pStyle w:val="12"/>
        <w:ind w:left="0" w:leftChars="0" w:firstLine="0" w:firstLineChars="0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6831CDA3">
      <w:pPr>
        <w:pStyle w:val="11"/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53F0C43C">
      <w:pPr>
        <w:rPr>
          <w:rFonts w:hint="eastAsia" w:ascii="黑体" w:hAnsi="Calibri" w:eastAsia="黑体"/>
          <w:sz w:val="32"/>
          <w:szCs w:val="32"/>
          <w:lang w:val="en-US" w:eastAsia="zh-CN"/>
        </w:rPr>
      </w:pPr>
    </w:p>
    <w:p w14:paraId="6E61FF0A">
      <w:pPr>
        <w:pStyle w:val="12"/>
        <w:ind w:firstLine="2880" w:firstLineChars="900"/>
        <w:jc w:val="both"/>
        <w:rPr>
          <w:rFonts w:hint="eastAsia" w:ascii="黑体" w:hAnsi="Calibri" w:eastAsia="黑体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宁夏和宁化学有限公司</w:t>
      </w:r>
    </w:p>
    <w:p w14:paraId="2155C857">
      <w:pPr>
        <w:pStyle w:val="12"/>
        <w:ind w:left="0" w:leftChars="0" w:firstLine="3200" w:firstLineChars="1000"/>
        <w:jc w:val="both"/>
        <w:rPr>
          <w:rFonts w:hint="default"/>
          <w:lang w:val="en-US" w:eastAsia="zh-CN"/>
        </w:rPr>
        <w:sectPr>
          <w:headerReference r:id="rId4" w:type="first"/>
          <w:headerReference r:id="rId3" w:type="default"/>
          <w:pgSz w:w="11906" w:h="16838"/>
          <w:pgMar w:top="1871" w:right="1134" w:bottom="1418" w:left="1134" w:header="1247" w:footer="851" w:gutter="0"/>
          <w:pgNumType w:start="1"/>
          <w:cols w:space="720" w:num="1"/>
          <w:titlePg/>
          <w:docGrid w:linePitch="312" w:charSpace="0"/>
        </w:sect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2026年9月6日</w:t>
      </w:r>
    </w:p>
    <w:p w14:paraId="41F53158">
      <w:pPr>
        <w:jc w:val="both"/>
        <w:rPr>
          <w:rFonts w:hint="eastAsia" w:ascii="黑体" w:hAnsi="Calibri" w:eastAsia="黑体"/>
          <w:sz w:val="32"/>
          <w:szCs w:val="32"/>
        </w:rPr>
      </w:pPr>
    </w:p>
    <w:p w14:paraId="532324C7">
      <w:pPr>
        <w:jc w:val="center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宁夏和宁化学有限公司</w:t>
      </w:r>
    </w:p>
    <w:p w14:paraId="5EA73FA7">
      <w:pPr>
        <w:pStyle w:val="12"/>
        <w:ind w:firstLine="0" w:firstLineChars="0"/>
        <w:jc w:val="center"/>
        <w:rPr>
          <w:rFonts w:hint="eastAsia" w:ascii="宋体" w:hAnsi="宋体" w:cs="宋体"/>
        </w:rPr>
      </w:pP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en-US" w:bidi="ar-SA"/>
        </w:rPr>
        <w:t>危险废物"五即"</w:t>
      </w: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zh-CN" w:bidi="ar-SA"/>
        </w:rPr>
        <w:t>规范化建设服务项目</w:t>
      </w: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en-US" w:bidi="ar-SA"/>
        </w:rPr>
        <w:t>公开比选询价函</w:t>
      </w:r>
    </w:p>
    <w:p w14:paraId="1CFC25CB">
      <w:pPr>
        <w:pStyle w:val="12"/>
        <w:ind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各服务机构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cs="宋体"/>
          <w:lang w:val="en-US" w:eastAsia="zh-CN"/>
        </w:rPr>
        <w:t>单位</w:t>
      </w:r>
      <w:r>
        <w:rPr>
          <w:rFonts w:hint="eastAsia" w:ascii="宋体" w:hAnsi="宋体" w:cs="宋体"/>
        </w:rPr>
        <w:t>：</w:t>
      </w:r>
    </w:p>
    <w:p w14:paraId="09C9CB29">
      <w:pPr>
        <w:pStyle w:val="12"/>
        <w:ind w:firstLine="48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我公司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根据宁夏回族自治区生态环境厅办公室下发的《关于开展危险废物全过程环境管理的通知》内容要求，生态环境厅依托宁夏固体危险废物动态监管信息系统（以下简称“宁夏固废系统”），推行危险废物产生端“五即”规范化建设</w:t>
      </w:r>
      <w:r>
        <w:rPr>
          <w:rFonts w:hint="eastAsia" w:ascii="宋体" w:hAnsi="宋体" w:cs="宋体"/>
          <w:lang w:val="en-US" w:eastAsia="zh-CN"/>
        </w:rPr>
        <w:t>，关于危险废物"即产生、即包装、即称重、即打码、即入库"（以下简称"五即"）规范化建设及"一码贯通"全过程信息化管理的要求，我公司现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计划开展危险废物"五即"规范化建设服务项目</w:t>
      </w:r>
      <w:r>
        <w:rPr>
          <w:rFonts w:hint="eastAsia" w:ascii="宋体" w:hAnsi="宋体" w:cs="宋体"/>
        </w:rPr>
        <w:t>进行</w:t>
      </w:r>
      <w:r>
        <w:rPr>
          <w:rFonts w:hint="eastAsia" w:ascii="宋体" w:hAnsi="宋体" w:cs="宋体"/>
          <w:lang w:val="en-US" w:eastAsia="zh-CN"/>
        </w:rPr>
        <w:t>公开</w:t>
      </w:r>
      <w:r>
        <w:rPr>
          <w:rFonts w:hint="eastAsia" w:ascii="宋体" w:hAnsi="宋体" w:cs="宋体"/>
        </w:rPr>
        <w:t>询价，请各单位根据我公司发起的询价函内容，于20</w:t>
      </w:r>
      <w:r>
        <w:rPr>
          <w:rFonts w:hint="eastAsia" w:ascii="宋体" w:hAnsi="宋体" w:cs="宋体"/>
          <w:lang w:val="en-US" w:eastAsia="zh-CN"/>
        </w:rPr>
        <w:t>26年9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14</w:t>
      </w:r>
      <w:r>
        <w:rPr>
          <w:rFonts w:hint="eastAsia" w:ascii="宋体" w:hAnsi="宋体" w:cs="宋体"/>
        </w:rPr>
        <w:t>日前向我公司递交</w:t>
      </w:r>
      <w:r>
        <w:rPr>
          <w:rFonts w:hint="eastAsia" w:ascii="宋体" w:hAnsi="宋体" w:cs="宋体"/>
          <w:lang w:val="en-US" w:eastAsia="en-US"/>
        </w:rPr>
        <w:t>危险废物"五即"</w:t>
      </w:r>
      <w:r>
        <w:rPr>
          <w:rFonts w:hint="eastAsia" w:ascii="宋体" w:hAnsi="宋体" w:cs="宋体"/>
          <w:lang w:val="en-US" w:eastAsia="zh-CN"/>
        </w:rPr>
        <w:t>规范化建设服务项目工作</w:t>
      </w:r>
      <w:r>
        <w:rPr>
          <w:rFonts w:hint="eastAsia" w:ascii="宋体" w:hAnsi="宋体" w:cs="宋体"/>
        </w:rPr>
        <w:t>报价文件及报价单。</w:t>
      </w:r>
    </w:p>
    <w:p w14:paraId="2AFB026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一、报价文件具体要求</w:t>
      </w:r>
    </w:p>
    <w:p w14:paraId="0D47E181">
      <w:pPr>
        <w:pStyle w:val="12"/>
        <w:ind w:firstLine="480"/>
        <w:rPr>
          <w:rFonts w:hint="eastAsia" w:ascii="宋体" w:hAnsi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一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项目名称：危险废物"五即"管理智能化设备采购项目</w:t>
      </w:r>
    </w:p>
    <w:p w14:paraId="0EDA40B2">
      <w:pPr>
        <w:pStyle w:val="12"/>
        <w:ind w:firstLine="480"/>
        <w:rPr>
          <w:rFonts w:hint="eastAsia" w:ascii="宋体" w:hAnsi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二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采购内容：危险废物"五即"规范化建设所需的智能称重、二维码标签打印、扫码识别、视频监控等物联网设备的供货、安装、调试、系统对接、操作培训及售后维保等全部服务。</w:t>
      </w:r>
    </w:p>
    <w:p w14:paraId="1B6D7F0B">
      <w:pPr>
        <w:pStyle w:val="12"/>
        <w:ind w:firstLine="480"/>
        <w:rPr>
          <w:rFonts w:hint="eastAsia" w:ascii="宋体" w:hAnsi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三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交货及安装地点：</w:t>
      </w:r>
      <w:r>
        <w:rPr>
          <w:rFonts w:hint="eastAsia" w:ascii="宋体" w:hAnsi="宋体" w:cs="宋体"/>
          <w:u w:val="single"/>
          <w:lang w:val="en-US" w:eastAsia="zh-CN"/>
        </w:rPr>
        <w:t>宁夏和宁化学有限公司危险废物库房现场</w:t>
      </w:r>
      <w:r>
        <w:rPr>
          <w:rFonts w:hint="eastAsia" w:ascii="宋体" w:hAnsi="宋体" w:cs="宋体"/>
        </w:rPr>
        <w:t>（采购人指定地点）</w:t>
      </w:r>
    </w:p>
    <w:p w14:paraId="16009172">
      <w:pPr>
        <w:pStyle w:val="12"/>
        <w:ind w:firstLine="480"/>
        <w:rPr>
          <w:rFonts w:hint="eastAsia" w:ascii="宋体" w:hAnsi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四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供货及安装工期：合同签订后</w:t>
      </w:r>
      <w:r>
        <w:rPr>
          <w:rFonts w:hint="eastAsia" w:ascii="宋体" w:hAnsi="宋体" w:cs="宋体"/>
          <w:u w:val="single"/>
          <w:lang w:val="en-US" w:eastAsia="zh-CN"/>
        </w:rPr>
        <w:t xml:space="preserve"> 15 </w:t>
      </w:r>
      <w:r>
        <w:rPr>
          <w:rFonts w:hint="eastAsia" w:ascii="宋体" w:hAnsi="宋体" w:cs="宋体"/>
        </w:rPr>
        <w:t>个日历天内完成交货、安装、调试并通过验收。</w:t>
      </w:r>
    </w:p>
    <w:p w14:paraId="5D9599F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二、采购设备清单</w:t>
      </w:r>
    </w:p>
    <w:p w14:paraId="7159B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本次采购设备主要包括（详见附表《设备清单及报价明细表》），供应商应按下表所列品类及技术要求分项报价，并可根据自身产品情况补充优化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清单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</w:t>
      </w:r>
    </w:p>
    <w:p w14:paraId="2233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（一）采购设备清单</w:t>
      </w:r>
    </w:p>
    <w:tbl>
      <w:tblPr>
        <w:tblStyle w:val="13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30"/>
        <w:gridCol w:w="4545"/>
        <w:gridCol w:w="1485"/>
        <w:gridCol w:w="1087"/>
      </w:tblGrid>
      <w:tr w14:paraId="4B742D8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27DF902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0C341F1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4FB2B20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主要技术参数要求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07794C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5A3B4A4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</w:tr>
      <w:tr w14:paraId="4472A55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28FAF14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2A717EF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智能操作终端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C82E46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高性能处理器、大容量电池、高清触摸屏、支持RFID/条码/二维码识别、支持4G/5G/WiFi及蓝牙连接、防护等级不低于IP54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08C1014D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5058A3C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D92C3F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3CA2FEC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490E69E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智能电子地磅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05BBA1C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尺寸不小于1米乘1米、最大量程不小于2吨、精度符合III级检定要求、含第三方检定证书、支持蓝牙或串口通讯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5D18640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733FCEA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F2528E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5763D08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14C8762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标签打印机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70ABD80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便携式热敏标签打印机、支持批量打印二维码、蓝牙连接、电池续航不低于8小时、支持热敏不干胶标签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1BA0698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2D22BDE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1B7793B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B60DF4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137240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国标二维码电子标签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127B1A7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符合HJ 1276标准、规格含100mm乘100mm等尺寸、热敏不干胶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FF7DF2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184006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</w:tr>
      <w:tr w14:paraId="7D3A842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72357B6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3950AE1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室外防水接线箱及附属设备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588DA5B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不锈钢防水箱体、含空开、浪涌、插线板及落地支架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7C19FE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09E95C1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D7C5AE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4B777B9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357C130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物联网卡</w:t>
            </w:r>
          </w:p>
        </w:tc>
        <w:tc>
          <w:tcPr>
            <w:tcW w:w="454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1E2AFCD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含数据流量套餐，有效期不少于3年</w:t>
            </w:r>
          </w:p>
        </w:tc>
        <w:tc>
          <w:tcPr>
            <w:tcW w:w="1485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8B8A50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10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2816759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125DAB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80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noWrap w:val="0"/>
            <w:vAlign w:val="center"/>
          </w:tcPr>
          <w:p w14:paraId="64B1BAB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以上设备可根据实际情况调整。</w:t>
            </w:r>
          </w:p>
        </w:tc>
      </w:tr>
    </w:tbl>
    <w:p w14:paraId="30EF2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技术要求：</w:t>
      </w:r>
    </w:p>
    <w:p w14:paraId="5292B86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上述设备须满足《危险废物物联网智能监控设备技术要求》（T/ACEF 148-2024）规定的设备功能、设备性能、环境适应能力及信息安全等要求。</w:t>
      </w:r>
    </w:p>
    <w:p w14:paraId="5DC6B5B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设备采购安装后，须与全国危险废物全过程环境管理信息系统完成对接，支持重量数据自动上传、二维码标签自动生成、电子台账自动记录，实现"一码贯通"。</w:t>
      </w:r>
    </w:p>
    <w:p w14:paraId="2520448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供应商可根据企业实际产废场景提供全自动/半自动等不同实施方案，并进行唯一报价。</w:t>
      </w:r>
    </w:p>
    <w:p w14:paraId="6C50B9C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lang w:val="en-US" w:eastAsia="zh-CN"/>
        </w:rPr>
      </w:pPr>
      <w:r>
        <w:rPr>
          <w:rFonts w:hint="eastAsia" w:ascii="宋体" w:hAnsi="宋体" w:cs="宋体"/>
          <w:b/>
          <w:lang w:val="en-US" w:eastAsia="zh-CN"/>
        </w:rPr>
        <w:t>三、供应商资格要求</w:t>
      </w:r>
    </w:p>
    <w:p w14:paraId="7743819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在中华人民共和国境内依法注册，具有独立承担民事责任能力的法人或其他组织，持有效的营业执照，经营范围涵盖物联网、环保信息化、危险废物智能化管理设备制造或销售等相关业务。</w:t>
      </w:r>
    </w:p>
    <w:p w14:paraId="743E7DB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具备危险废物"五即"智能化管理系统研发或落地实施能力，具有相关软硬件自主知识产权（专利证书、软件著作权等）者优先。</w:t>
      </w:r>
    </w:p>
    <w:p w14:paraId="7D9EBE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具备信息安全相关体系认证，系统满足网络安全等级保护相关要求，可保障危废数据存储、传输安全。</w:t>
      </w:r>
    </w:p>
    <w:p w14:paraId="35B634A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近三年内具有至少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项类似项目（危废"五即"智能化设备供货或系统集成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服务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）的业绩（以合同及验收证明为准）。</w:t>
      </w:r>
    </w:p>
    <w:p w14:paraId="60FD5B4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（五）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未被列入"信用中国"失信被执行人、重大税收违法案件当事人名单，未被列入"国家企业信用信息公示系统"严重违法失信名单；无环保处罚等不良信用记录。</w:t>
      </w:r>
    </w:p>
    <w:p w14:paraId="7DC9CD4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单位负责人为同一人或者存在直接控股、管理关系的不同供应商，不得同时参与本项目报价；本项目不接受联合体报价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。</w:t>
      </w:r>
    </w:p>
    <w:p w14:paraId="7F5C4BA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lang w:val="en-US" w:eastAsia="zh-CN"/>
        </w:rPr>
      </w:pPr>
      <w:r>
        <w:rPr>
          <w:rFonts w:hint="eastAsia" w:ascii="宋体" w:hAnsi="宋体" w:cs="宋体"/>
          <w:b/>
          <w:lang w:val="en-US" w:eastAsia="zh-CN"/>
        </w:rPr>
        <w:t>四、服务及技术要求</w:t>
      </w:r>
    </w:p>
    <w:p w14:paraId="2F1D4F7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供应商须负责设备的供货、包装、运输、安装、调试及与监管平台的对接，确保系统稳定运行、数据实时、准确、不可篡改。</w:t>
      </w:r>
    </w:p>
    <w:p w14:paraId="09F42E9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设备支持断网缓存、自动补传功能，确保网络异常时数据不丢失。</w:t>
      </w:r>
    </w:p>
    <w:p w14:paraId="232FE67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供应商须为采购人相关操作人员提供现场实操培训，直至熟练使用。</w:t>
      </w:r>
    </w:p>
    <w:p w14:paraId="51011C3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提供不低于</w:t>
      </w:r>
      <w:r>
        <w:rPr>
          <w:rFonts w:hint="eastAsia" w:ascii="宋体" w:hAnsi="宋体" w:cs="宋体"/>
          <w:kern w:val="2"/>
          <w:sz w:val="24"/>
          <w:szCs w:val="24"/>
          <w:u w:val="single"/>
          <w:lang w:val="en-US" w:eastAsia="zh-CN" w:bidi="ar-SA"/>
        </w:rPr>
        <w:t xml:space="preserve"> 3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年的免费质保及常态化运维服务，质保期内免费提供固件升级、政策适配、数据维护等服务。</w:t>
      </w:r>
    </w:p>
    <w:p w14:paraId="6CFF849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（五）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设备安装调试须遵守相关安全规范，涉及防爆区域的设备须具备相应防爆资质和合格证明。</w:t>
      </w:r>
    </w:p>
    <w:p w14:paraId="216E1EB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供应商须提供完整的技术方案，包括系统架构、软硬件清单、实施周期、培训计划、维保方案及与全国危废系统对接的技术方案。</w:t>
      </w:r>
    </w:p>
    <w:p w14:paraId="625014E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lang w:val="en-US" w:eastAsia="zh-CN"/>
        </w:rPr>
      </w:pPr>
      <w:r>
        <w:rPr>
          <w:rFonts w:hint="eastAsia" w:ascii="宋体" w:hAnsi="宋体" w:cs="宋体"/>
          <w:b/>
          <w:lang w:val="en-US" w:eastAsia="zh-CN"/>
        </w:rPr>
        <w:t>五、报价要求</w:t>
      </w:r>
    </w:p>
    <w:p w14:paraId="0C3A99C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报价采用包干价，应包含设备供货、运输、安装、调试、系统对接、培训、税费、保险、质保及售后维保等全部费用，成交后不再另行收取任何费用。</w:t>
      </w:r>
    </w:p>
    <w:p w14:paraId="0F776CF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报价人须按采购人提供的《设备清单及报价明细表》格式分项填报（含硬件、软件、实施、维保、培训等分项费用），并注明设备品牌、型号、主要参数。</w:t>
      </w:r>
    </w:p>
    <w:p w14:paraId="6E15061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本次询价只允许单方案、单一报价，多方案、多报价的不予接受。</w:t>
      </w:r>
    </w:p>
    <w:p w14:paraId="1514A2E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报价文件中须附：报价明细表、营业执照、相关资质证书、法定代表人身份证明、授权委托书及被授权人身份证复印件、业绩证明材料、技术方案、信用中国及政府采购网无失信记录查询截图等，所有复印件均须加盖公章。</w:t>
      </w:r>
    </w:p>
    <w:p w14:paraId="7C93694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报价文件须密封提交，封袋骑缝处加盖单位公章。</w:t>
      </w:r>
    </w:p>
    <w:p w14:paraId="6DE4BFD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lang w:val="en-US" w:eastAsia="zh-CN"/>
        </w:rPr>
        <w:t>六、</w:t>
      </w:r>
      <w:r>
        <w:rPr>
          <w:rFonts w:hint="eastAsia" w:ascii="宋体" w:hAnsi="宋体" w:cs="宋体"/>
          <w:b/>
        </w:rPr>
        <w:t>报价书格式及内容不得调整或增减。</w:t>
      </w:r>
    </w:p>
    <w:p w14:paraId="0B80D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both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（一）</w:t>
      </w:r>
      <w:r>
        <w:rPr>
          <w:rFonts w:hint="eastAsia" w:ascii="宋体" w:hAnsi="宋体" w:cs="宋体"/>
          <w:sz w:val="24"/>
        </w:rPr>
        <w:t>各</w:t>
      </w:r>
      <w:r>
        <w:rPr>
          <w:rFonts w:hint="eastAsia" w:ascii="宋体" w:hAnsi="宋体" w:cs="宋体"/>
          <w:sz w:val="24"/>
          <w:lang w:val="en-US" w:eastAsia="zh-CN"/>
        </w:rPr>
        <w:t>单位</w:t>
      </w:r>
      <w:r>
        <w:rPr>
          <w:rFonts w:hint="eastAsia" w:ascii="宋体" w:hAnsi="宋体" w:cs="宋体"/>
          <w:sz w:val="24"/>
        </w:rPr>
        <w:t xml:space="preserve">如对询价函存在疑问的，请提前与联系人沟通，联系人：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刘  刚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联系电话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18295374110 </w:t>
      </w:r>
      <w:r>
        <w:rPr>
          <w:rFonts w:hint="eastAsia" w:ascii="宋体" w:hAnsi="宋体" w:cs="宋体"/>
          <w:sz w:val="24"/>
        </w:rPr>
        <w:t xml:space="preserve"> 。</w:t>
      </w:r>
    </w:p>
    <w:p w14:paraId="679AA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both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（二）</w:t>
      </w:r>
      <w:r>
        <w:rPr>
          <w:rFonts w:hint="eastAsia" w:ascii="宋体" w:hAnsi="宋体" w:cs="宋体"/>
          <w:sz w:val="24"/>
        </w:rPr>
        <w:t>报价截止时间：</w:t>
      </w:r>
      <w:r>
        <w:rPr>
          <w:rFonts w:hint="eastAsia" w:ascii="宋体" w:hAnsi="宋体" w:cs="宋体"/>
          <w:sz w:val="24"/>
          <w:lang w:val="en-US" w:eastAsia="zh-CN"/>
        </w:rPr>
        <w:t>2026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日1</w:t>
      </w:r>
      <w:r>
        <w:rPr>
          <w:rFonts w:ascii="宋体" w:hAnsi="宋体" w:cs="宋体"/>
          <w:sz w:val="24"/>
        </w:rPr>
        <w:t>7</w:t>
      </w:r>
      <w:r>
        <w:rPr>
          <w:rFonts w:hint="eastAsia" w:ascii="宋体" w:hAnsi="宋体" w:cs="宋体"/>
          <w:sz w:val="24"/>
        </w:rPr>
        <w:t>：0</w:t>
      </w:r>
      <w:r>
        <w:rPr>
          <w:rFonts w:ascii="宋体" w:hAnsi="宋体" w:cs="宋体"/>
          <w:sz w:val="24"/>
        </w:rPr>
        <w:t>0</w:t>
      </w:r>
      <w:r>
        <w:rPr>
          <w:rFonts w:hint="eastAsia" w:ascii="宋体" w:hAnsi="宋体" w:cs="宋体"/>
          <w:sz w:val="24"/>
        </w:rPr>
        <w:t>前，可当面递交，也可快递送达。</w:t>
      </w:r>
    </w:p>
    <w:p w14:paraId="1FBC4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（四）</w:t>
      </w:r>
      <w:r>
        <w:rPr>
          <w:rFonts w:hint="eastAsia" w:ascii="宋体" w:hAnsi="宋体" w:cs="宋体"/>
          <w:sz w:val="24"/>
        </w:rPr>
        <w:t>公司地址：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>宁东能源化工基地煤化工园区B区，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>宁夏和宁化学有限公司</w:t>
      </w:r>
      <w:r>
        <w:rPr>
          <w:rFonts w:hint="eastAsia" w:ascii="宋体" w:hAnsi="宋体" w:cs="宋体"/>
          <w:sz w:val="24"/>
          <w:u w:val="single"/>
          <w:lang w:eastAsia="zh-CN"/>
        </w:rPr>
        <w:t>。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</w:p>
    <w:p w14:paraId="72636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80" w:firstLineChars="200"/>
        <w:jc w:val="both"/>
        <w:textAlignment w:val="auto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刘  刚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联系电话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18295374110 </w:t>
      </w:r>
      <w:r>
        <w:rPr>
          <w:rFonts w:hint="eastAsia" w:ascii="宋体" w:hAnsi="宋体" w:cs="宋体"/>
          <w:sz w:val="24"/>
          <w:u w:val="single"/>
        </w:rPr>
        <w:t xml:space="preserve"> </w:t>
      </w:r>
    </w:p>
    <w:p w14:paraId="2C477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/>
        <w:jc w:val="both"/>
        <w:textAlignment w:val="auto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七</w:t>
      </w:r>
      <w:r>
        <w:rPr>
          <w:rFonts w:hint="eastAsia" w:ascii="宋体" w:hAnsi="宋体" w:cs="宋体"/>
          <w:b/>
          <w:sz w:val="24"/>
        </w:rPr>
        <w:t>、评选说明：</w:t>
      </w:r>
    </w:p>
    <w:p w14:paraId="214AA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1、在满足本询价函所列条件和要求的前提下，按总价报价由低到高进行排序，排序第一者为中选单位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若出现低价单位报价一致的情况，将对低价单位开展二次报价，确定由价低者中标。</w:t>
      </w:r>
    </w:p>
    <w:p w14:paraId="4ED353CE">
      <w:pPr>
        <w:pStyle w:val="12"/>
        <w:ind w:left="0" w:leftChars="0"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2、优先选取资质业绩齐全的单位，若资质业绩不齐全的单位将排序降后。</w:t>
      </w:r>
    </w:p>
    <w:p w14:paraId="16BE6DC9">
      <w:pPr>
        <w:pStyle w:val="11"/>
        <w:ind w:left="0" w:leftChars="0"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3、</w:t>
      </w:r>
      <w:r>
        <w:rPr>
          <w:rFonts w:hint="eastAsia" w:ascii="宋体" w:hAnsi="宋体" w:cs="宋体"/>
          <w:sz w:val="24"/>
        </w:rPr>
        <w:t>报价文件接收后，我公司根据内部管理制度组织评选，评选结果将在评选后</w:t>
      </w: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日内通知报价人。</w:t>
      </w:r>
    </w:p>
    <w:p w14:paraId="7A8A7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、中选者须在接到中选通知后</w:t>
      </w:r>
      <w:r>
        <w:rPr>
          <w:rFonts w:hint="eastAsia" w:ascii="宋体" w:hAnsi="宋体" w:cs="宋体"/>
          <w:sz w:val="24"/>
          <w:lang w:val="en-US" w:eastAsia="zh-CN"/>
        </w:rPr>
        <w:t>5个工作</w:t>
      </w:r>
      <w:r>
        <w:rPr>
          <w:rFonts w:hint="eastAsia" w:ascii="宋体" w:hAnsi="宋体" w:cs="宋体"/>
          <w:sz w:val="24"/>
        </w:rPr>
        <w:t>日内与我公司签订正式合同，否则视为中选者放弃。我公司有权与评选排序次之的服务机构进行商议或重新组织询价。</w:t>
      </w:r>
    </w:p>
    <w:p w14:paraId="39715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/>
        <w:jc w:val="both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三、询价报价具有一定市场风险，在未签订正式合同前，我公司对于报价人以下行为不承担任何责任，均由报价人自行承担：</w:t>
      </w:r>
    </w:p>
    <w:p w14:paraId="76456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1、报价人因本次报价产生的费用。</w:t>
      </w:r>
    </w:p>
    <w:p w14:paraId="43C1C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2、报价人设想中选而自行决定的前期投入或准备。</w:t>
      </w:r>
    </w:p>
    <w:p w14:paraId="6D7D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3、因合同签订不成功导致的报价人预期利益的影响。</w:t>
      </w:r>
    </w:p>
    <w:p w14:paraId="0C10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</w:rPr>
      </w:pPr>
    </w:p>
    <w:p w14:paraId="0759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附件：1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报价</w:t>
      </w:r>
      <w:r>
        <w:rPr>
          <w:rFonts w:hint="eastAsia"/>
          <w:sz w:val="24"/>
          <w:lang w:val="en-US" w:eastAsia="zh-CN"/>
        </w:rPr>
        <w:t>单</w:t>
      </w:r>
    </w:p>
    <w:p w14:paraId="1C5D9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200" w:firstLineChars="500"/>
        <w:jc w:val="both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2、系统软件功能要求</w:t>
      </w:r>
    </w:p>
    <w:p w14:paraId="0F0D7F7D">
      <w:pPr>
        <w:pStyle w:val="10"/>
        <w:adjustRightInd w:val="0"/>
        <w:snapToGrid w:val="0"/>
        <w:spacing w:line="360" w:lineRule="auto"/>
        <w:rPr>
          <w:sz w:val="24"/>
        </w:rPr>
      </w:pPr>
    </w:p>
    <w:p w14:paraId="24EF4B97">
      <w:pPr>
        <w:pStyle w:val="10"/>
        <w:adjustRightInd w:val="0"/>
        <w:snapToGrid w:val="0"/>
        <w:spacing w:line="360" w:lineRule="auto"/>
        <w:ind w:firstLine="6720" w:firstLineChars="2800"/>
        <w:rPr>
          <w:sz w:val="24"/>
        </w:rPr>
      </w:pPr>
    </w:p>
    <w:p w14:paraId="424EFE25">
      <w:pPr>
        <w:pStyle w:val="10"/>
        <w:adjustRightInd w:val="0"/>
        <w:snapToGrid w:val="0"/>
        <w:spacing w:line="360" w:lineRule="auto"/>
        <w:rPr>
          <w:sz w:val="24"/>
        </w:rPr>
      </w:pPr>
    </w:p>
    <w:p w14:paraId="6D3968CC">
      <w:pPr>
        <w:pStyle w:val="10"/>
        <w:adjustRightInd w:val="0"/>
        <w:snapToGrid w:val="0"/>
        <w:spacing w:line="360" w:lineRule="auto"/>
        <w:ind w:firstLine="6720" w:firstLineChars="2800"/>
        <w:rPr>
          <w:sz w:val="24"/>
        </w:rPr>
      </w:pPr>
    </w:p>
    <w:p w14:paraId="64389057">
      <w:pPr>
        <w:pStyle w:val="10"/>
        <w:adjustRightInd w:val="0"/>
        <w:snapToGrid w:val="0"/>
        <w:spacing w:line="360" w:lineRule="auto"/>
        <w:ind w:firstLine="6720" w:firstLineChars="2800"/>
        <w:rPr>
          <w:sz w:val="24"/>
        </w:rPr>
      </w:pPr>
    </w:p>
    <w:p w14:paraId="27337AED">
      <w:pPr>
        <w:pStyle w:val="10"/>
        <w:adjustRightInd w:val="0"/>
        <w:snapToGrid w:val="0"/>
        <w:spacing w:line="360" w:lineRule="auto"/>
        <w:ind w:firstLine="6000" w:firstLineChars="25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宁夏和宁化学有限公司</w:t>
      </w:r>
    </w:p>
    <w:p w14:paraId="6AA4D3F6">
      <w:pPr>
        <w:pStyle w:val="10"/>
        <w:adjustRightInd w:val="0"/>
        <w:snapToGrid w:val="0"/>
        <w:spacing w:line="312" w:lineRule="auto"/>
        <w:rPr>
          <w:sz w:val="24"/>
        </w:rPr>
      </w:pPr>
    </w:p>
    <w:p w14:paraId="26093F5C">
      <w:pPr>
        <w:pStyle w:val="10"/>
        <w:adjustRightInd w:val="0"/>
        <w:snapToGrid w:val="0"/>
        <w:spacing w:line="312" w:lineRule="auto"/>
        <w:rPr>
          <w:sz w:val="24"/>
        </w:rPr>
        <w:sectPr>
          <w:headerReference r:id="rId6" w:type="first"/>
          <w:footerReference r:id="rId7" w:type="first"/>
          <w:headerReference r:id="rId5" w:type="default"/>
          <w:pgSz w:w="11906" w:h="16838"/>
          <w:pgMar w:top="1871" w:right="1134" w:bottom="1418" w:left="1134" w:header="1247" w:footer="851" w:gutter="0"/>
          <w:pgNumType w:start="1"/>
          <w:cols w:space="720" w:num="1"/>
          <w:docGrid w:linePitch="312" w:charSpace="0"/>
        </w:sectPr>
      </w:pPr>
    </w:p>
    <w:p w14:paraId="1AA4568E">
      <w:pPr>
        <w:pStyle w:val="10"/>
        <w:adjustRightInd w:val="0"/>
        <w:snapToGrid w:val="0"/>
        <w:spacing w:line="312" w:lineRule="auto"/>
        <w:rPr>
          <w:sz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附件1：报价单</w:t>
      </w:r>
    </w:p>
    <w:p w14:paraId="495ED4AF">
      <w:pPr>
        <w:jc w:val="center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宁夏和宁化学有限公司</w:t>
      </w:r>
    </w:p>
    <w:p w14:paraId="1306BE0F">
      <w:pPr>
        <w:pStyle w:val="10"/>
        <w:adjustRightInd w:val="0"/>
        <w:snapToGrid w:val="0"/>
        <w:spacing w:line="312" w:lineRule="auto"/>
        <w:jc w:val="center"/>
        <w:rPr>
          <w:rFonts w:hint="eastAsia" w:eastAsia="黑体"/>
          <w:sz w:val="24"/>
          <w:lang w:eastAsia="zh-CN"/>
        </w:rPr>
      </w:pP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en-US" w:bidi="ar-SA"/>
        </w:rPr>
        <w:t>危险废物"五即"</w:t>
      </w: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zh-CN" w:bidi="ar-SA"/>
        </w:rPr>
        <w:t>规范化建设服务项目</w:t>
      </w: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en-US" w:bidi="ar-SA"/>
        </w:rPr>
        <w:t>公开比选</w:t>
      </w: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zh-CN" w:bidi="ar-SA"/>
        </w:rPr>
        <w:t>报价单</w:t>
      </w:r>
    </w:p>
    <w:tbl>
      <w:tblPr>
        <w:tblStyle w:val="13"/>
        <w:tblW w:w="10237" w:type="dxa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26"/>
        <w:gridCol w:w="4533"/>
        <w:gridCol w:w="1200"/>
        <w:gridCol w:w="1364"/>
        <w:gridCol w:w="1084"/>
      </w:tblGrid>
      <w:tr w14:paraId="4C840C7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1620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940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C1AE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主要技术参数要求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A838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9733B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96DC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14E1E4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9F9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F4C2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智能操作终端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E277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高性能处理器、大容量电池、高清触摸屏、支持RFID/条码/二维码识别、支持4G/5G/WiFi及蓝牙连接、防护等级不低于IP54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34A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2938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3388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94CAA2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C9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BC8A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智能电子地磅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CE0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尺寸不小于1米乘1米、最大量程不小于2吨、精度符合III级检定要求、含第三方检定证书、支持蓝牙或串口通讯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6E0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2E9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005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212D07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E613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A3BF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标签打印机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062C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便携式热敏标签打印机、支持批量打印二维码、蓝牙连接、电池续航不低于8小时、支持热敏不干胶标签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3D2B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F20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22C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1682A5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9494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6DB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国标二维码电子标签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119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符合HJ 1276标准、规格含100mm乘100mm等尺寸、热敏不干胶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84549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42B3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3D06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51A1AF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25B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C29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室外防水接线箱及附属设备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007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不锈钢防水箱体、含空开、浪涌、插线板及落地支架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B0C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6875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036C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54460E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596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3DA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物联网卡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85F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含数据流量套餐，有效期不少于3年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339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084D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FA4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273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214AE2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60171">
            <w:pPr>
              <w:spacing w:before="40" w:after="4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C79D">
            <w:pPr>
              <w:spacing w:before="40" w:after="4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其他服务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FF5F">
            <w:pPr>
              <w:spacing w:before="40" w:after="4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运维、安装等所有涉及的所有服务费用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6A29">
            <w:pPr>
              <w:spacing w:before="40" w:after="4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0C10">
            <w:pPr>
              <w:spacing w:before="40" w:after="4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88ED1">
            <w:pPr>
              <w:spacing w:before="40" w:after="4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EB3F6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B941">
            <w:pPr>
              <w:spacing w:before="40" w:after="4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合计（元）：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9AFDA">
            <w:pPr>
              <w:spacing w:before="40" w:after="40"/>
              <w:jc w:val="both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81159">
            <w:pPr>
              <w:spacing w:before="40" w:after="40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大写：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4C20C">
            <w:pPr>
              <w:spacing w:before="40" w:after="4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C5B28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7196">
            <w:pPr>
              <w:spacing w:before="40" w:after="40"/>
              <w:jc w:val="both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在满足招标文件的要求时，可调整设备型号和数量，但不得影响“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en-US" w:bidi="ar-SA"/>
              </w:rPr>
              <w:t>五即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”功能。</w:t>
            </w:r>
          </w:p>
        </w:tc>
      </w:tr>
    </w:tbl>
    <w:p w14:paraId="421A2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本单位已知悉理解并同意</w:t>
      </w:r>
      <w:r>
        <w:rPr>
          <w:rFonts w:hint="eastAsia" w:ascii="宋体" w:hAnsi="宋体" w:cs="宋体"/>
          <w:sz w:val="24"/>
          <w:lang w:val="en-US" w:eastAsia="en-US"/>
        </w:rPr>
        <w:t>危险废物"五即"</w:t>
      </w:r>
      <w:r>
        <w:rPr>
          <w:rFonts w:hint="eastAsia" w:ascii="宋体" w:hAnsi="宋体" w:cs="宋体"/>
          <w:sz w:val="24"/>
          <w:lang w:val="en-US" w:eastAsia="zh-CN"/>
        </w:rPr>
        <w:t>规范化建设服务项目服务工作询价函内容，并愿意按照以上服务内容及服务价格提供服务工作，如有违反愿承担相关责任。</w:t>
      </w:r>
    </w:p>
    <w:p w14:paraId="74924D7F">
      <w:pPr>
        <w:pStyle w:val="1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                                 联系电话：</w:t>
      </w:r>
    </w:p>
    <w:p w14:paraId="3DE018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jc w:val="both"/>
        <w:textAlignment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法定代表人（或授权委托人）签字：</w:t>
      </w:r>
    </w:p>
    <w:p w14:paraId="4075AD1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2BADA6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pgSz w:w="11906" w:h="16838"/>
          <w:pgMar w:top="1871" w:right="1134" w:bottom="1418" w:left="1134" w:header="1247" w:footer="851" w:gutter="0"/>
          <w:pgNumType w:start="1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单位（盖章）：                                         年    月    </w:t>
      </w:r>
    </w:p>
    <w:p w14:paraId="649BA61B">
      <w:pPr>
        <w:pStyle w:val="10"/>
        <w:adjustRightInd w:val="0"/>
        <w:snapToGrid w:val="0"/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附件2：系统软件功能要求（包括但不限于以下内容，且相关内容将作为验收依据和合同签订标准）</w:t>
      </w:r>
    </w:p>
    <w:p w14:paraId="22BF856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（一）管理平台PC端功能（系统软件应至少具备以下功能模块：）</w:t>
      </w:r>
    </w:p>
    <w:p w14:paraId="1826A9A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1、危废出入库统计、累计库存查询。</w:t>
      </w:r>
    </w:p>
    <w:p w14:paraId="1B675B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2、危废类别与代码信息管理、标准名称配置。</w:t>
      </w:r>
    </w:p>
    <w:p w14:paraId="3CC25BA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3、产废设施信息管理、贮存设施信息管理。</w:t>
      </w:r>
    </w:p>
    <w:p w14:paraId="04CE210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4、入库台账、出库台账、移库台账管理。</w:t>
      </w:r>
    </w:p>
    <w:p w14:paraId="528D793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5、电子标签打印管理、标签模板配置。</w:t>
      </w:r>
    </w:p>
    <w:p w14:paraId="02A9A01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6、扫码出入库、批量出入库、取消出库。</w:t>
      </w:r>
    </w:p>
    <w:p w14:paraId="1D06CD3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7、转移联单填领与在线申报管理。</w:t>
      </w:r>
    </w:p>
    <w:p w14:paraId="1EB88AB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8、危废月度汇总、年度同比统计分析。</w:t>
      </w:r>
    </w:p>
    <w:p w14:paraId="645A08B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9、用户管理、权限管理、操作日志管理。</w:t>
      </w:r>
    </w:p>
    <w:p w14:paraId="4CB36AB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10、对接国家及省级危废监管平台的数据上报功能。</w:t>
      </w:r>
    </w:p>
    <w:p w14:paraId="1DD0335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（二）移动终端App功能</w:t>
      </w:r>
    </w:p>
    <w:p w14:paraId="596B3E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1、支持便携式终端单个或批量扫码出入库。</w:t>
      </w:r>
    </w:p>
    <w:p w14:paraId="0301984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2、支持现场拍照留存（入库、出库现场影像）。</w:t>
      </w:r>
    </w:p>
    <w:p w14:paraId="16A0D96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3、支持离线缓存，网络中断时本地加密存储，恢复后自动续传。</w:t>
      </w:r>
    </w:p>
    <w:p w14:paraId="32D8489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4、支持多种蓝牙磅秤、串口磅秤及多品牌打印机接入。</w:t>
      </w:r>
    </w:p>
    <w:p w14:paraId="0C9453E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5、支持动态标签模板、标签打印方向与数量设置。</w:t>
      </w:r>
    </w:p>
    <w:p w14:paraId="67EEF50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（三）建设工期及运维要求</w:t>
      </w:r>
    </w:p>
    <w:p w14:paraId="62A2598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1、自合同签订之日起15个日历日内完成全部设备供货、安装调试并部署上线。</w:t>
      </w:r>
    </w:p>
    <w:p w14:paraId="0E76764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2、上线后进入试运行期，试运行期为6个月。</w:t>
      </w:r>
    </w:p>
    <w:p w14:paraId="06E289B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3、试运行期满且经生态环境主管部门对接验收合格后，进入免费运维期，免费运维期不少于1年。</w:t>
      </w:r>
    </w:p>
    <w:p w14:paraId="31C02DAD"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4、运维期内供应商应提供全天24小时远程技术支持及故障响应服务，重大故障响应时间不超过5小时。</w:t>
      </w:r>
    </w:p>
    <w:sectPr>
      <w:pgSz w:w="11906" w:h="16838"/>
      <w:pgMar w:top="1871" w:right="1134" w:bottom="1418" w:left="1134" w:header="1247" w:footer="851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76E37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19"/>
      <w:gridCol w:w="5108"/>
    </w:tblGrid>
    <w:tr w14:paraId="2C1CF1BA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30" w:hRule="atLeast"/>
      </w:trPr>
      <w:tc>
        <w:tcPr>
          <w:tcW w:w="4519" w:type="dxa"/>
          <w:noWrap w:val="0"/>
          <w:vAlign w:val="center"/>
        </w:tcPr>
        <w:p w14:paraId="3F29E3FC">
          <w:pPr>
            <w:pStyle w:val="9"/>
            <w:jc w:val="left"/>
            <w:rPr>
              <w:rFonts w:ascii="黑体" w:eastAsia="黑体"/>
            </w:rPr>
          </w:pPr>
          <w:r>
            <w:rPr>
              <w:rFonts w:hint="eastAsia"/>
            </w:rPr>
            <w:t xml:space="preserve">     </w:t>
          </w:r>
          <w:r>
            <w:drawing>
              <wp:inline distT="0" distB="0" distL="114300" distR="114300">
                <wp:extent cx="2011680" cy="619125"/>
                <wp:effectExtent l="0" t="0" r="0" b="0"/>
                <wp:docPr id="1" name="图片 2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2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8" w:type="dxa"/>
          <w:noWrap w:val="0"/>
          <w:vAlign w:val="center"/>
        </w:tcPr>
        <w:p w14:paraId="48684FC8">
          <w:pPr>
            <w:tabs>
              <w:tab w:val="left" w:pos="8325"/>
            </w:tabs>
            <w:ind w:left="-107" w:leftChars="-51" w:right="-65" w:rightChars="-31" w:firstLine="122" w:firstLineChars="51"/>
            <w:jc w:val="right"/>
            <w:rPr>
              <w:rFonts w:hint="eastAsia" w:ascii="黑体" w:eastAsia="黑体"/>
              <w:lang w:eastAsia="zh-CN"/>
            </w:rPr>
          </w:pPr>
          <w:r>
            <w:rPr>
              <w:rFonts w:hint="eastAsia" w:ascii="黑体" w:hAnsi="黑体" w:eastAsia="黑体" w:cs="黑体"/>
              <w:sz w:val="24"/>
            </w:rPr>
            <w:t xml:space="preserve">  HNHX-AH-2023-00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5</w:t>
          </w:r>
        </w:p>
      </w:tc>
    </w:tr>
  </w:tbl>
  <w:p w14:paraId="2A594079">
    <w:pPr>
      <w:pStyle w:val="9"/>
      <w:wordWrap w:val="0"/>
      <w:jc w:val="right"/>
      <w:rPr>
        <w:rFonts w:ascii="黑体" w:eastAsia="黑体"/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19"/>
      <w:gridCol w:w="5108"/>
    </w:tblGrid>
    <w:tr w14:paraId="518B8BA3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30" w:hRule="atLeast"/>
      </w:trPr>
      <w:tc>
        <w:tcPr>
          <w:tcW w:w="4519" w:type="dxa"/>
          <w:noWrap w:val="0"/>
          <w:vAlign w:val="center"/>
        </w:tcPr>
        <w:p w14:paraId="7A939183">
          <w:pPr>
            <w:pStyle w:val="9"/>
            <w:jc w:val="left"/>
            <w:rPr>
              <w:rFonts w:ascii="黑体" w:eastAsia="黑体"/>
            </w:rPr>
          </w:pPr>
          <w:r>
            <w:rPr>
              <w:rFonts w:hint="eastAsia"/>
            </w:rPr>
            <w:t xml:space="preserve">     </w:t>
          </w:r>
          <w:r>
            <w:drawing>
              <wp:inline distT="0" distB="0" distL="114300" distR="114300">
                <wp:extent cx="2011680" cy="619125"/>
                <wp:effectExtent l="0" t="0" r="0" b="0"/>
                <wp:docPr id="2" name="图片 1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8" w:type="dxa"/>
          <w:noWrap w:val="0"/>
          <w:vAlign w:val="center"/>
        </w:tcPr>
        <w:p w14:paraId="279EFC32">
          <w:pPr>
            <w:tabs>
              <w:tab w:val="left" w:pos="8325"/>
            </w:tabs>
            <w:ind w:left="-107" w:leftChars="-51" w:right="-65" w:rightChars="-31" w:firstLine="122" w:firstLineChars="51"/>
            <w:jc w:val="right"/>
            <w:rPr>
              <w:rFonts w:hint="default" w:ascii="黑体" w:eastAsia="黑体"/>
              <w:lang w:val="en-US" w:eastAsia="zh-CN"/>
            </w:rPr>
          </w:pPr>
          <w:r>
            <w:rPr>
              <w:rFonts w:hint="eastAsia" w:ascii="黑体" w:hAnsi="黑体" w:eastAsia="黑体" w:cs="黑体"/>
              <w:sz w:val="24"/>
            </w:rPr>
            <w:t xml:space="preserve">  HNHX-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HB</w:t>
          </w:r>
          <w:r>
            <w:rPr>
              <w:rFonts w:hint="eastAsia" w:ascii="黑体" w:hAnsi="黑体" w:eastAsia="黑体" w:cs="黑体"/>
              <w:sz w:val="24"/>
            </w:rPr>
            <w:t>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G-</w:t>
          </w:r>
          <w:r>
            <w:rPr>
              <w:rFonts w:hint="eastAsia" w:ascii="黑体" w:hAnsi="黑体" w:eastAsia="黑体" w:cs="黑体"/>
              <w:sz w:val="24"/>
            </w:rPr>
            <w:t>202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5</w:t>
          </w:r>
          <w:r>
            <w:rPr>
              <w:rFonts w:hint="eastAsia" w:ascii="黑体" w:hAnsi="黑体" w:eastAsia="黑体" w:cs="黑体"/>
              <w:sz w:val="24"/>
            </w:rPr>
            <w:t>-0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78</w:t>
          </w:r>
        </w:p>
      </w:tc>
    </w:tr>
  </w:tbl>
  <w:p w14:paraId="079B3936">
    <w:pPr>
      <w:pStyle w:val="9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19"/>
      <w:gridCol w:w="5108"/>
    </w:tblGrid>
    <w:tr w14:paraId="526782A3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30" w:hRule="atLeast"/>
      </w:trPr>
      <w:tc>
        <w:tcPr>
          <w:tcW w:w="4519" w:type="dxa"/>
          <w:noWrap w:val="0"/>
          <w:vAlign w:val="center"/>
        </w:tcPr>
        <w:p w14:paraId="27CFBA9D">
          <w:pPr>
            <w:pStyle w:val="9"/>
            <w:jc w:val="left"/>
            <w:rPr>
              <w:rFonts w:ascii="黑体" w:eastAsia="黑体"/>
            </w:rPr>
          </w:pPr>
          <w:r>
            <w:rPr>
              <w:rFonts w:hint="eastAsia"/>
            </w:rPr>
            <w:t xml:space="preserve">     </w:t>
          </w:r>
          <w:r>
            <w:drawing>
              <wp:inline distT="0" distB="0" distL="114300" distR="114300">
                <wp:extent cx="2011680" cy="619125"/>
                <wp:effectExtent l="0" t="0" r="0" b="0"/>
                <wp:docPr id="3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8" w:type="dxa"/>
          <w:noWrap w:val="0"/>
          <w:vAlign w:val="center"/>
        </w:tcPr>
        <w:p w14:paraId="3BF7FCBC">
          <w:pPr>
            <w:tabs>
              <w:tab w:val="left" w:pos="8325"/>
            </w:tabs>
            <w:ind w:left="-107" w:leftChars="-51" w:right="-65" w:rightChars="-31" w:firstLine="122" w:firstLineChars="51"/>
            <w:jc w:val="right"/>
            <w:rPr>
              <w:rFonts w:hint="default" w:ascii="黑体" w:eastAsia="黑体"/>
              <w:lang w:val="en-US" w:eastAsia="zh-CN"/>
            </w:rPr>
          </w:pPr>
          <w:r>
            <w:rPr>
              <w:rFonts w:hint="eastAsia" w:ascii="黑体" w:hAnsi="黑体" w:eastAsia="黑体" w:cs="黑体"/>
              <w:sz w:val="24"/>
            </w:rPr>
            <w:t xml:space="preserve">  HNHX-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HB</w:t>
          </w:r>
          <w:r>
            <w:rPr>
              <w:rFonts w:hint="eastAsia" w:ascii="黑体" w:hAnsi="黑体" w:eastAsia="黑体" w:cs="黑体"/>
              <w:sz w:val="24"/>
            </w:rPr>
            <w:t>-202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5</w:t>
          </w:r>
          <w:r>
            <w:rPr>
              <w:rFonts w:hint="eastAsia" w:ascii="黑体" w:hAnsi="黑体" w:eastAsia="黑体" w:cs="黑体"/>
              <w:sz w:val="24"/>
            </w:rPr>
            <w:t>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G-</w:t>
          </w:r>
          <w:r>
            <w:rPr>
              <w:rFonts w:hint="eastAsia" w:ascii="黑体" w:hAnsi="黑体" w:eastAsia="黑体" w:cs="黑体"/>
              <w:sz w:val="24"/>
            </w:rPr>
            <w:t>0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78</w:t>
          </w:r>
        </w:p>
      </w:tc>
    </w:tr>
  </w:tbl>
  <w:p w14:paraId="545678F8">
    <w:pPr>
      <w:pStyle w:val="9"/>
      <w:wordWrap w:val="0"/>
      <w:jc w:val="both"/>
      <w:rPr>
        <w:rFonts w:ascii="黑体" w:eastAsia="黑体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19"/>
      <w:gridCol w:w="5108"/>
    </w:tblGrid>
    <w:tr w14:paraId="0D4B9167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30" w:hRule="atLeast"/>
      </w:trPr>
      <w:tc>
        <w:tcPr>
          <w:tcW w:w="4519" w:type="dxa"/>
          <w:noWrap w:val="0"/>
          <w:vAlign w:val="center"/>
        </w:tcPr>
        <w:p w14:paraId="6800CC76">
          <w:pPr>
            <w:pStyle w:val="9"/>
            <w:jc w:val="left"/>
            <w:rPr>
              <w:rFonts w:ascii="黑体" w:eastAsia="黑体"/>
            </w:rPr>
          </w:pPr>
          <w:r>
            <w:rPr>
              <w:rFonts w:hint="eastAsia"/>
            </w:rPr>
            <w:t xml:space="preserve">     </w:t>
          </w:r>
          <w:r>
            <w:drawing>
              <wp:inline distT="0" distB="0" distL="114300" distR="114300">
                <wp:extent cx="2011680" cy="619125"/>
                <wp:effectExtent l="0" t="0" r="0" b="0"/>
                <wp:docPr id="4" name="图片 3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3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8" w:type="dxa"/>
          <w:noWrap w:val="0"/>
          <w:vAlign w:val="center"/>
        </w:tcPr>
        <w:p w14:paraId="713375D9">
          <w:pPr>
            <w:tabs>
              <w:tab w:val="left" w:pos="8325"/>
            </w:tabs>
            <w:ind w:left="-107" w:leftChars="-51" w:right="-65" w:rightChars="-31" w:firstLine="122" w:firstLineChars="51"/>
            <w:jc w:val="right"/>
            <w:rPr>
              <w:rFonts w:hint="default" w:ascii="黑体" w:eastAsia="黑体"/>
              <w:lang w:val="en-US" w:eastAsia="zh-CN"/>
            </w:rPr>
          </w:pPr>
          <w:r>
            <w:rPr>
              <w:rFonts w:hint="eastAsia" w:ascii="黑体" w:hAnsi="黑体" w:eastAsia="黑体" w:cs="黑体"/>
              <w:sz w:val="24"/>
            </w:rPr>
            <w:t xml:space="preserve">  HNHX-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HB</w:t>
          </w:r>
          <w:r>
            <w:rPr>
              <w:rFonts w:hint="eastAsia" w:ascii="黑体" w:hAnsi="黑体" w:eastAsia="黑体" w:cs="黑体"/>
              <w:sz w:val="24"/>
            </w:rPr>
            <w:t>-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G-</w:t>
          </w:r>
          <w:r>
            <w:rPr>
              <w:rFonts w:hint="eastAsia" w:ascii="黑体" w:hAnsi="黑体" w:eastAsia="黑体" w:cs="黑体"/>
              <w:sz w:val="24"/>
            </w:rPr>
            <w:t>202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5</w:t>
          </w:r>
          <w:r>
            <w:rPr>
              <w:rFonts w:hint="eastAsia" w:ascii="黑体" w:hAnsi="黑体" w:eastAsia="黑体" w:cs="黑体"/>
              <w:sz w:val="24"/>
            </w:rPr>
            <w:t>-0</w:t>
          </w:r>
          <w:r>
            <w:rPr>
              <w:rFonts w:hint="eastAsia" w:ascii="黑体" w:hAnsi="黑体" w:eastAsia="黑体" w:cs="黑体"/>
              <w:sz w:val="24"/>
              <w:lang w:val="en-US" w:eastAsia="zh-CN"/>
            </w:rPr>
            <w:t>42</w:t>
          </w:r>
        </w:p>
      </w:tc>
    </w:tr>
  </w:tbl>
  <w:p w14:paraId="66707BEA">
    <w:pPr>
      <w:pStyle w:val="9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B212D"/>
    <w:multiLevelType w:val="singleLevel"/>
    <w:tmpl w:val="270B212D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EC1"/>
    <w:rsid w:val="0F14637B"/>
    <w:rsid w:val="1F803933"/>
    <w:rsid w:val="25E03D73"/>
    <w:rsid w:val="74417235"/>
    <w:rsid w:val="7A3D1912"/>
    <w:rsid w:val="7AC3395B"/>
    <w:rsid w:val="7B8A602F"/>
    <w:rsid w:val="7E405E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 w:eastAsia="宋体" w:cs="Times New Roman"/>
      <w:b/>
      <w:bCs/>
      <w:color w:val="4F81BD"/>
      <w:sz w:val="26"/>
      <w:szCs w:val="26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 w:val="0"/>
      <w:suppressLineNumbers w:val="0"/>
      <w:spacing w:before="200" w:beforeAutospacing="0" w:after="0" w:afterAutospacing="0" w:line="273" w:lineRule="auto"/>
      <w:jc w:val="left"/>
      <w:outlineLvl w:val="2"/>
    </w:pPr>
    <w:rPr>
      <w:rFonts w:hint="default" w:ascii="Calibri" w:hAnsi="Calibri" w:eastAsia="MS Gothic" w:cs="Times New Roman"/>
      <w:b/>
      <w:bCs/>
      <w:color w:val="4F81BD"/>
      <w:kern w:val="0"/>
      <w:sz w:val="22"/>
      <w:szCs w:val="22"/>
      <w:lang w:val="en-US" w:eastAsia="zh-CN" w:bidi="ar"/>
    </w:rPr>
  </w:style>
  <w:style w:type="character" w:default="1" w:styleId="15">
    <w:name w:val="Default Paragraph Font"/>
    <w:semiHidden/>
    <w:uiPriority w:val="0"/>
  </w:style>
  <w:style w:type="table" w:default="1" w:styleId="13">
    <w:name w:val="Normal Table"/>
    <w:semiHidden/>
    <w:qFormat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uiPriority w:val="0"/>
    <w:pPr>
      <w:numPr>
        <w:ilvl w:val="0"/>
        <w:numId w:val="1"/>
      </w:numPr>
    </w:pPr>
  </w:style>
  <w:style w:type="paragraph" w:styleId="5">
    <w:name w:val="Body Text"/>
    <w:basedOn w:val="1"/>
    <w:next w:val="6"/>
    <w:qFormat/>
    <w:uiPriority w:val="0"/>
    <w:pPr>
      <w:widowControl/>
      <w:tabs>
        <w:tab w:val="left" w:pos="3150"/>
        <w:tab w:val="left" w:pos="5040"/>
        <w:tab w:val="left" w:pos="5880"/>
        <w:tab w:val="left" w:pos="6405"/>
        <w:tab w:val="left" w:pos="6720"/>
        <w:tab w:val="left" w:pos="8295"/>
        <w:tab w:val="left" w:pos="8715"/>
      </w:tabs>
      <w:spacing w:line="400" w:lineRule="exact"/>
      <w:ind w:right="315"/>
      <w:jc w:val="center"/>
    </w:pPr>
    <w:rPr>
      <w:kern w:val="0"/>
      <w:sz w:val="24"/>
    </w:rPr>
  </w:style>
  <w:style w:type="paragraph" w:customStyle="1" w:styleId="6">
    <w:name w:val="Date1"/>
    <w:basedOn w:val="1"/>
    <w:next w:val="1"/>
    <w:qFormat/>
    <w:uiPriority w:val="99"/>
    <w:pPr>
      <w:adjustRightInd w:val="0"/>
      <w:jc w:val="left"/>
      <w:textAlignment w:val="baseline"/>
    </w:pPr>
    <w:rPr>
      <w:rFonts w:ascii="宋体" w:hAnsi="宋体"/>
      <w:sz w:val="28"/>
      <w:szCs w:val="20"/>
    </w:rPr>
  </w:style>
  <w:style w:type="paragraph" w:styleId="7">
    <w:name w:val="Body Text Indent"/>
    <w:basedOn w:val="1"/>
    <w:next w:val="1"/>
    <w:qFormat/>
    <w:uiPriority w:val="0"/>
    <w:pPr>
      <w:spacing w:line="400" w:lineRule="exact"/>
      <w:ind w:firstLine="540" w:firstLineChars="225"/>
    </w:pPr>
    <w:rPr>
      <w:sz w:val="24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line="300" w:lineRule="exact"/>
    </w:pPr>
    <w:rPr>
      <w:sz w:val="18"/>
    </w:rPr>
  </w:style>
  <w:style w:type="paragraph" w:styleId="11">
    <w:name w:val="Body Text First Indent"/>
    <w:basedOn w:val="5"/>
    <w:next w:val="1"/>
    <w:qFormat/>
    <w:uiPriority w:val="0"/>
    <w:pPr>
      <w:widowControl w:val="0"/>
      <w:spacing w:after="120" w:line="240" w:lineRule="auto"/>
      <w:ind w:firstLine="420" w:firstLineChars="100"/>
      <w:jc w:val="both"/>
    </w:pPr>
    <w:rPr>
      <w:kern w:val="2"/>
      <w:sz w:val="21"/>
    </w:rPr>
  </w:style>
  <w:style w:type="paragraph" w:styleId="12">
    <w:name w:val="Body Text First Indent 2"/>
    <w:basedOn w:val="7"/>
    <w:next w:val="11"/>
    <w:qFormat/>
    <w:uiPriority w:val="0"/>
    <w:pPr>
      <w:spacing w:line="360" w:lineRule="auto"/>
      <w:ind w:firstLine="20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3656</Words>
  <Characters>3772</Characters>
  <Lines>0</Lines>
  <Paragraphs>0</Paragraphs>
  <TotalTime>41</TotalTime>
  <ScaleCrop>false</ScaleCrop>
  <LinksUpToDate>false</LinksUpToDate>
  <CharactersWithSpaces>3883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2025-08-14T03:54:46Z</dcterms:created>
  <dc:creator>Administrator</dc:creator>
  <cp:lastModifiedBy>丁凯</cp:lastModifiedBy>
  <cp:lastPrinted>2026-09-08T05:57:25Z</cp:lastPrinted>
  <dcterms:modified xsi:type="dcterms:W3CDTF">2026-09-08T08:36:20Z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eyJoZGlkIjoiMDM4MzY2MmY0N2UxM2Q0Yzg1YTdmN2ViMGI2ZmExODEiLCJ1c2VySWQiOiIyNTI3MTc3MzMifQ==</vt:lpwstr>
  </property>
  <property fmtid="{D5CDD505-2E9C-101B-9397-08002B2CF9AE}" pid="4" name="ICV">
    <vt:lpwstr>A9AEFC84E1AD49889F79BD6A2008DD1F_13</vt:lpwstr>
  </property>
</Properties>
</file>